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8A4B3A" w:rsidRDefault="000D73FB" w:rsidP="000D73FB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8A4B3A">
        <w:rPr>
          <w:rFonts w:ascii="Times New Roman" w:hAnsi="Times New Roman"/>
          <w:sz w:val="28"/>
          <w:szCs w:val="28"/>
        </w:rPr>
        <w:t xml:space="preserve">СОГЛАСОВАНО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УТВЕРЖДАЮ</w:t>
      </w:r>
    </w:p>
    <w:p w:rsidR="000D73FB" w:rsidRPr="00084D1F" w:rsidRDefault="000D73FB" w:rsidP="000D73FB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084D1F">
        <w:rPr>
          <w:rFonts w:ascii="Times New Roman" w:hAnsi="Times New Roman"/>
          <w:sz w:val="24"/>
          <w:szCs w:val="24"/>
        </w:rPr>
        <w:t xml:space="preserve">Председатель Попечительского Совета                         </w:t>
      </w:r>
      <w:r>
        <w:rPr>
          <w:rFonts w:ascii="Times New Roman" w:hAnsi="Times New Roman"/>
          <w:sz w:val="24"/>
          <w:szCs w:val="24"/>
        </w:rPr>
        <w:t xml:space="preserve">   Директор МОБУ «Школа №10»</w:t>
      </w:r>
    </w:p>
    <w:p w:rsidR="000D73FB" w:rsidRPr="00084D1F" w:rsidRDefault="000D73FB" w:rsidP="000D73FB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084D1F">
        <w:rPr>
          <w:rFonts w:ascii="Times New Roman" w:hAnsi="Times New Roman"/>
          <w:sz w:val="24"/>
          <w:szCs w:val="24"/>
        </w:rPr>
        <w:t xml:space="preserve"> школы и родительского комитета                                  </w:t>
      </w:r>
      <w:r>
        <w:rPr>
          <w:rFonts w:ascii="Times New Roman" w:hAnsi="Times New Roman"/>
          <w:sz w:val="24"/>
          <w:szCs w:val="24"/>
        </w:rPr>
        <w:t xml:space="preserve">  г. Прокопьевск</w:t>
      </w:r>
    </w:p>
    <w:p w:rsidR="000D73FB" w:rsidRDefault="000D73FB" w:rsidP="000D73FB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084D1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Поцуло О.В.      </w:t>
      </w:r>
      <w:r w:rsidRPr="00084D1F">
        <w:rPr>
          <w:rFonts w:ascii="Times New Roman" w:hAnsi="Times New Roman"/>
          <w:sz w:val="24"/>
          <w:szCs w:val="24"/>
        </w:rPr>
        <w:t xml:space="preserve">                         </w:t>
      </w:r>
      <w:r w:rsidR="000850A9">
        <w:rPr>
          <w:rFonts w:ascii="Times New Roman" w:hAnsi="Times New Roman"/>
          <w:sz w:val="24"/>
          <w:szCs w:val="24"/>
        </w:rPr>
        <w:t xml:space="preserve"> </w:t>
      </w:r>
      <w:r w:rsidRPr="0008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Кемеровская область</w:t>
      </w:r>
    </w:p>
    <w:p w:rsidR="000D73FB" w:rsidRPr="00084D1F" w:rsidRDefault="000D73FB" w:rsidP="000D73FB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08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85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084D1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Гречкина И.И.</w:t>
      </w:r>
    </w:p>
    <w:p w:rsidR="000D73FB" w:rsidRPr="00084D1F" w:rsidRDefault="000D73FB" w:rsidP="000D73FB">
      <w:pPr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084D1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84D1F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47/1 </w:t>
      </w:r>
      <w:r w:rsidRPr="00084D1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25 мая  </w:t>
      </w:r>
      <w:r w:rsidRPr="00084D1F">
        <w:rPr>
          <w:rFonts w:ascii="Times New Roman" w:hAnsi="Times New Roman"/>
          <w:sz w:val="24"/>
          <w:szCs w:val="24"/>
        </w:rPr>
        <w:t>2011г.</w:t>
      </w:r>
    </w:p>
    <w:p w:rsidR="000D73FB" w:rsidRPr="00084D1F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5C3311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5C3311">
        <w:rPr>
          <w:rFonts w:ascii="Times New Roman" w:hAnsi="Times New Roman"/>
          <w:b/>
          <w:sz w:val="52"/>
          <w:szCs w:val="52"/>
        </w:rPr>
        <w:t>Проект</w:t>
      </w:r>
    </w:p>
    <w:p w:rsidR="000D73FB" w:rsidRPr="005C3311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5C3311">
        <w:rPr>
          <w:rFonts w:ascii="Times New Roman" w:hAnsi="Times New Roman"/>
          <w:b/>
          <w:sz w:val="52"/>
          <w:szCs w:val="52"/>
        </w:rPr>
        <w:t>перспективного развития</w:t>
      </w:r>
    </w:p>
    <w:p w:rsidR="000D73FB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5C3311">
        <w:rPr>
          <w:rFonts w:ascii="Times New Roman" w:hAnsi="Times New Roman"/>
          <w:b/>
          <w:sz w:val="52"/>
          <w:szCs w:val="52"/>
        </w:rPr>
        <w:t xml:space="preserve">МОБУ </w:t>
      </w:r>
      <w:r>
        <w:rPr>
          <w:rFonts w:ascii="Times New Roman" w:hAnsi="Times New Roman"/>
          <w:b/>
          <w:sz w:val="52"/>
          <w:szCs w:val="52"/>
        </w:rPr>
        <w:t>«Школа №10»</w:t>
      </w:r>
    </w:p>
    <w:p w:rsidR="000D73FB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г. Прокопьев</w:t>
      </w:r>
      <w:r w:rsidR="000850A9">
        <w:rPr>
          <w:rFonts w:ascii="Times New Roman" w:hAnsi="Times New Roman"/>
          <w:b/>
          <w:sz w:val="52"/>
          <w:szCs w:val="52"/>
        </w:rPr>
        <w:t>с</w:t>
      </w:r>
      <w:r>
        <w:rPr>
          <w:rFonts w:ascii="Times New Roman" w:hAnsi="Times New Roman"/>
          <w:b/>
          <w:sz w:val="52"/>
          <w:szCs w:val="52"/>
        </w:rPr>
        <w:t>ка</w:t>
      </w:r>
    </w:p>
    <w:p w:rsidR="000D73FB" w:rsidRPr="005C3311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Кемеровской области</w:t>
      </w:r>
    </w:p>
    <w:p w:rsidR="000D73FB" w:rsidRPr="005C3311" w:rsidRDefault="000D73FB" w:rsidP="000D73F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5C3311">
        <w:rPr>
          <w:rFonts w:ascii="Times New Roman" w:hAnsi="Times New Roman"/>
          <w:b/>
          <w:sz w:val="52"/>
          <w:szCs w:val="52"/>
        </w:rPr>
        <w:t>на 2011-2015 учебный год</w:t>
      </w: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5C3311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C3311">
        <w:rPr>
          <w:rFonts w:ascii="Times New Roman" w:hAnsi="Times New Roman"/>
          <w:sz w:val="24"/>
          <w:szCs w:val="24"/>
        </w:rPr>
        <w:t>Принято на заседании</w:t>
      </w:r>
    </w:p>
    <w:p w:rsidR="000D73FB" w:rsidRPr="005C3311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Pr="005C3311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5C3311">
        <w:rPr>
          <w:rFonts w:ascii="Times New Roman" w:hAnsi="Times New Roman"/>
          <w:sz w:val="24"/>
          <w:szCs w:val="24"/>
        </w:rPr>
        <w:t>овета</w:t>
      </w: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23 мая </w:t>
      </w:r>
      <w:r w:rsidRPr="005C3311">
        <w:rPr>
          <w:rFonts w:ascii="Times New Roman" w:hAnsi="Times New Roman"/>
          <w:sz w:val="24"/>
          <w:szCs w:val="24"/>
        </w:rPr>
        <w:t xml:space="preserve"> 2011 года</w:t>
      </w: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5C3311" w:rsidRDefault="000D73FB" w:rsidP="000D73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Прокопьевск</w:t>
      </w:r>
      <w:r w:rsidRPr="005C3311">
        <w:rPr>
          <w:rFonts w:ascii="Times New Roman" w:hAnsi="Times New Roman"/>
          <w:sz w:val="28"/>
          <w:szCs w:val="28"/>
        </w:rPr>
        <w:t>, 2011 г.</w:t>
      </w:r>
    </w:p>
    <w:p w:rsidR="000D73FB" w:rsidRPr="00565810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C64F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-318" w:type="dxa"/>
        <w:tblLook w:val="04A0"/>
      </w:tblPr>
      <w:tblGrid>
        <w:gridCol w:w="568"/>
        <w:gridCol w:w="8585"/>
        <w:gridCol w:w="736"/>
      </w:tblGrid>
      <w:tr w:rsidR="000D73FB" w:rsidTr="000D73FB">
        <w:tc>
          <w:tcPr>
            <w:tcW w:w="568" w:type="dxa"/>
          </w:tcPr>
          <w:p w:rsidR="000D73FB" w:rsidRDefault="000D73FB" w:rsidP="000D73FB"/>
        </w:tc>
        <w:tc>
          <w:tcPr>
            <w:tcW w:w="0" w:type="auto"/>
          </w:tcPr>
          <w:p w:rsidR="000D73FB" w:rsidRDefault="000D73FB" w:rsidP="000D73FB"/>
        </w:tc>
        <w:tc>
          <w:tcPr>
            <w:tcW w:w="0" w:type="auto"/>
          </w:tcPr>
          <w:p w:rsidR="000D73FB" w:rsidRPr="00FD6E8E" w:rsidRDefault="000D73FB" w:rsidP="000D73F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Pr="00FD6E8E" w:rsidRDefault="000D73FB" w:rsidP="000D73F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Паспорт проекта перспективного развития </w:t>
            </w:r>
          </w:p>
          <w:p w:rsidR="000D73FB" w:rsidRPr="00FD6E8E" w:rsidRDefault="000D73FB" w:rsidP="000D73F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r>
              <w:rPr>
                <w:rFonts w:ascii="Times New Roman" w:hAnsi="Times New Roman"/>
                <w:sz w:val="28"/>
                <w:szCs w:val="28"/>
              </w:rPr>
              <w:t>«Школа №10»</w:t>
            </w:r>
            <w:r w:rsidRPr="00FD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73FB" w:rsidRDefault="000D73FB" w:rsidP="000D73FB">
            <w:r w:rsidRPr="00FD6E8E">
              <w:rPr>
                <w:rFonts w:ascii="Times New Roman" w:hAnsi="Times New Roman"/>
                <w:sz w:val="28"/>
                <w:szCs w:val="28"/>
              </w:rPr>
              <w:t>образовательной инициативы «Наша новая школа»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3FB" w:rsidRPr="00FD6E8E" w:rsidRDefault="000D73FB" w:rsidP="000D73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D73FB" w:rsidRPr="00FD6E8E" w:rsidRDefault="000D73FB" w:rsidP="000D73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Pr="00FD6E8E" w:rsidRDefault="000D73FB" w:rsidP="000D73F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Введение. Проблемный анализ качества </w:t>
            </w:r>
          </w:p>
          <w:p w:rsidR="000D73FB" w:rsidRDefault="000D73FB" w:rsidP="000D73FB">
            <w:r w:rsidRPr="00FD6E8E">
              <w:rPr>
                <w:rFonts w:ascii="Times New Roman" w:hAnsi="Times New Roman"/>
                <w:sz w:val="28"/>
                <w:szCs w:val="28"/>
              </w:rPr>
              <w:t>образовательных услуг и эффективности деятельности школы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D73FB" w:rsidRPr="00FD6E8E" w:rsidRDefault="000D73FB" w:rsidP="000D73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Pr="0017138E" w:rsidRDefault="000D73FB" w:rsidP="000D73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задач в рамках реализации национальной образовательной инициативы «Наша новая школа»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73FB" w:rsidRPr="00FD6E8E" w:rsidRDefault="000D73FB" w:rsidP="000D73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Default="000D73FB" w:rsidP="000D73FB">
            <w:r>
              <w:rPr>
                <w:rFonts w:ascii="Times New Roman" w:hAnsi="Times New Roman"/>
                <w:sz w:val="28"/>
                <w:szCs w:val="28"/>
              </w:rPr>
              <w:t>Постановка цели деятельности и конкретных достижимых задач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Default="000D73FB" w:rsidP="000D73FB">
            <w:r w:rsidRPr="00FD6E8E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D73FB" w:rsidTr="000D73FB">
        <w:tc>
          <w:tcPr>
            <w:tcW w:w="568" w:type="dxa"/>
          </w:tcPr>
          <w:p w:rsidR="000D73FB" w:rsidRPr="00FD6E8E" w:rsidRDefault="000D73FB" w:rsidP="000D73FB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3FB" w:rsidRPr="00FD6E8E" w:rsidRDefault="000D73FB" w:rsidP="000D73F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>Содержание, механизм реализации и ожидаемые результаты. Ресурсное обеспечение проекта</w:t>
            </w:r>
          </w:p>
        </w:tc>
        <w:tc>
          <w:tcPr>
            <w:tcW w:w="0" w:type="auto"/>
          </w:tcPr>
          <w:p w:rsidR="000D73FB" w:rsidRPr="00FD6E8E" w:rsidRDefault="000D73FB" w:rsidP="000D73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73FB" w:rsidRPr="00FD6E8E" w:rsidRDefault="000D73FB" w:rsidP="000D73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6E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0D73FB" w:rsidRDefault="000D73FB" w:rsidP="000D73FB"/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Default="00BB593F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0D73FB">
        <w:rPr>
          <w:rFonts w:ascii="Times New Roman" w:hAnsi="Times New Roman"/>
          <w:b/>
          <w:sz w:val="28"/>
          <w:szCs w:val="28"/>
        </w:rPr>
        <w:t>П</w:t>
      </w:r>
      <w:r w:rsidR="000D73FB" w:rsidRPr="005C64F2">
        <w:rPr>
          <w:rFonts w:ascii="Times New Roman" w:hAnsi="Times New Roman"/>
          <w:b/>
          <w:sz w:val="28"/>
          <w:szCs w:val="28"/>
        </w:rPr>
        <w:t>аспорт проекта перспективного развития школы</w:t>
      </w:r>
    </w:p>
    <w:p w:rsidR="000D73FB" w:rsidRPr="005C64F2" w:rsidRDefault="000D73FB" w:rsidP="000D73FB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основе </w:t>
      </w:r>
      <w:r w:rsidRPr="005C64F2">
        <w:rPr>
          <w:rFonts w:ascii="Times New Roman" w:hAnsi="Times New Roman"/>
          <w:b/>
          <w:sz w:val="28"/>
          <w:szCs w:val="28"/>
        </w:rPr>
        <w:t xml:space="preserve"> образовательной инициативы «Наша новая школа»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946"/>
      </w:tblGrid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Проект перспективного развития МОБУ </w:t>
            </w:r>
            <w:r>
              <w:rPr>
                <w:rFonts w:ascii="Times New Roman" w:hAnsi="Times New Roman"/>
                <w:sz w:val="28"/>
                <w:szCs w:val="28"/>
              </w:rPr>
              <w:t>«Школа №10» г. Прокопьевска,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Кемеровской области  2011 – 20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>15 учебный год</w:t>
            </w:r>
          </w:p>
        </w:tc>
      </w:tr>
      <w:tr w:rsidR="000D73FB" w:rsidRPr="007D3E11" w:rsidTr="000D73FB">
        <w:trPr>
          <w:trHeight w:val="1455"/>
        </w:trPr>
        <w:tc>
          <w:tcPr>
            <w:tcW w:w="2518" w:type="dxa"/>
            <w:tcBorders>
              <w:bottom w:val="single" w:sz="4" w:space="0" w:color="auto"/>
            </w:tcBorders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Национальная образовательная инициатива «Наша новая школа»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Заказчик-координатор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 «Управление образования» Администрации г. Прокопьевска.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Основной разработчик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r>
              <w:rPr>
                <w:rFonts w:ascii="Times New Roman" w:hAnsi="Times New Roman"/>
                <w:sz w:val="28"/>
                <w:szCs w:val="28"/>
              </w:rPr>
              <w:t>«Школа №10» г. Прокопьевск, Кемеровская область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Исполнители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r>
              <w:rPr>
                <w:rFonts w:ascii="Times New Roman" w:hAnsi="Times New Roman"/>
                <w:sz w:val="28"/>
                <w:szCs w:val="28"/>
              </w:rPr>
              <w:t>«Школа №10» г. Прокопьевск, Кемеровская область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Цели и задачи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Цель проекта: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  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>Задачи проекта: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</w:t>
            </w:r>
            <w:r w:rsidRPr="007D3E11">
              <w:rPr>
                <w:rFonts w:ascii="Times New Roman" w:hAnsi="Times New Roman"/>
                <w:sz w:val="28"/>
                <w:szCs w:val="28"/>
              </w:rPr>
              <w:lastRenderedPageBreak/>
              <w:t>стандартов (ФГОС) общего образования и формировать готовность и способность обучающихся к саморазвитию и высокой социальной активности.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Совершенствовать систему выявления, поддержки  и сопровождения талантливых детей и создавать условия для реализации их способностей.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Привлекать финансовые средства для развития школьной инфраструктуры.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Совершенствовать систему сохранения и  укрепления здоровья детей и создавать условия для эффективного использования здоровьесберегающих технологий. 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1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Повышать качество и эффективность услуг, предоставляемых за счет бюджетных средств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 деятельности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Переход на новые образовательные стандарты.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Развитие системы поддержки талантливых детей.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профессионализма педагогических работников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образовательной </w:t>
            </w:r>
            <w:r w:rsidRPr="007D3E11">
              <w:rPr>
                <w:rFonts w:ascii="Times New Roman" w:hAnsi="Times New Roman"/>
                <w:sz w:val="28"/>
                <w:szCs w:val="28"/>
              </w:rPr>
              <w:t xml:space="preserve"> инфраструктуры.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школьников.</w:t>
            </w:r>
          </w:p>
          <w:p w:rsidR="000D73FB" w:rsidRPr="007D3E11" w:rsidRDefault="000D73FB" w:rsidP="000D73FB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самостоятельности образовательного учреждения.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2011 – 2015 гг.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Бюджет школы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учащихся. Улучшение условий реализации образовательной программы школы.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 xml:space="preserve">Удовлетворение запросов всех участников образовательного процесса. 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педагогов.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Расширение диапазона мероприятий для раскрытия, развития и реализации творческих, учебно-исследовательских способностей учащихся.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Увеличение числа школьников, реализовавших свои способности.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Повышение мотивации учащихся к здоровому образу жизни и спорту, сохранение и укрепление здоровья школьников.</w:t>
            </w:r>
          </w:p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Обеспечение открытости деятельности школы.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t>Проект реализуется через запланированные мероприятия</w:t>
            </w:r>
          </w:p>
        </w:tc>
      </w:tr>
      <w:tr w:rsidR="000D73FB" w:rsidRPr="007D3E11" w:rsidTr="000D73FB">
        <w:tc>
          <w:tcPr>
            <w:tcW w:w="2518" w:type="dxa"/>
          </w:tcPr>
          <w:p w:rsidR="000D73FB" w:rsidRPr="007D3E11" w:rsidRDefault="000D73FB" w:rsidP="000D73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E11">
              <w:rPr>
                <w:rFonts w:ascii="Times New Roman" w:hAnsi="Times New Roman"/>
                <w:b/>
                <w:sz w:val="28"/>
                <w:szCs w:val="28"/>
              </w:rPr>
              <w:t xml:space="preserve">Система контроля за </w:t>
            </w:r>
            <w:r w:rsidRPr="007D3E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выполнением проекта</w:t>
            </w:r>
          </w:p>
        </w:tc>
        <w:tc>
          <w:tcPr>
            <w:tcW w:w="6946" w:type="dxa"/>
          </w:tcPr>
          <w:p w:rsidR="000D73FB" w:rsidRPr="007D3E11" w:rsidRDefault="000D73FB" w:rsidP="000D73FB">
            <w:pPr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 выполнения мероприятий Проекта осуществляют Совет школы,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 «Управления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образования» Администрации г. Прокопьевска, Кемеровской области</w:t>
            </w:r>
          </w:p>
        </w:tc>
      </w:tr>
    </w:tbl>
    <w:p w:rsidR="00BB593F" w:rsidRDefault="00BB593F" w:rsidP="000D73FB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5C64F2" w:rsidRDefault="00BB593F" w:rsidP="000D73FB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D73FB" w:rsidRPr="005C64F2">
        <w:rPr>
          <w:rFonts w:ascii="Times New Roman" w:hAnsi="Times New Roman"/>
          <w:b/>
          <w:sz w:val="28"/>
          <w:szCs w:val="28"/>
        </w:rPr>
        <w:t>Введение</w:t>
      </w:r>
    </w:p>
    <w:p w:rsidR="000D73FB" w:rsidRPr="00E865B3" w:rsidRDefault="000D73FB" w:rsidP="00C30028">
      <w:pPr>
        <w:spacing w:after="0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E865B3">
        <w:rPr>
          <w:rFonts w:ascii="Times New Roman" w:hAnsi="Times New Roman"/>
          <w:b/>
          <w:sz w:val="32"/>
          <w:szCs w:val="32"/>
        </w:rPr>
        <w:t>Проблемный анализ качества образовательных услуг и эффективности деятельности школы</w:t>
      </w:r>
    </w:p>
    <w:p w:rsidR="000D73FB" w:rsidRDefault="000D73FB" w:rsidP="00C3002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</w:t>
      </w:r>
      <w:r w:rsidR="00E865B3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учреждение «Средняя общеобразовательная школа №10» г. Прокопьевска основана в 1938г. и является старейшим учебным заведением с богатыми традициями. Проектная мощность здания 750 человек. 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имеется 15 кабинетов, методический кабинет, кабинеты психологической, медицинской служб, мастерские для девочек и мальчиков, спортивный зал, учительская, комната школьника, столовая. Школа работает в две смены. Для учащихся 2-11 классов шестидневная учебная неделя. Для учащихся 1-х классов пятидневная учебная неделя. 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первом классе осуществляется с соблюдением следующих дополнительных требований: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«ступенчатого» режима обучения в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полугодии (в сентябре, октябре – по 3 урока в день </w:t>
      </w:r>
      <w:r w:rsidRPr="00871618">
        <w:rPr>
          <w:rFonts w:ascii="Times New Roman" w:hAnsi="Times New Roman"/>
          <w:sz w:val="28"/>
        </w:rPr>
        <w:t>по 35 минут</w:t>
      </w:r>
      <w:r>
        <w:rPr>
          <w:rFonts w:ascii="Times New Roman" w:hAnsi="Times New Roman"/>
          <w:sz w:val="28"/>
        </w:rPr>
        <w:t xml:space="preserve"> каждый</w:t>
      </w:r>
      <w:r w:rsidRPr="0087161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ноябре – декабре</w:t>
      </w:r>
      <w:r w:rsidRPr="00871618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по </w:t>
      </w:r>
      <w:r w:rsidRPr="00871618">
        <w:rPr>
          <w:rFonts w:ascii="Times New Roman" w:hAnsi="Times New Roman"/>
          <w:sz w:val="28"/>
        </w:rPr>
        <w:t xml:space="preserve">4 урока по </w:t>
      </w:r>
      <w:r>
        <w:rPr>
          <w:rFonts w:ascii="Times New Roman" w:hAnsi="Times New Roman"/>
          <w:sz w:val="28"/>
        </w:rPr>
        <w:t>3</w:t>
      </w:r>
      <w:r w:rsidRPr="00871618">
        <w:rPr>
          <w:rFonts w:ascii="Times New Roman" w:hAnsi="Times New Roman"/>
          <w:sz w:val="28"/>
        </w:rPr>
        <w:t>5 минут каждый</w:t>
      </w:r>
      <w:r>
        <w:rPr>
          <w:rFonts w:ascii="Times New Roman" w:hAnsi="Times New Roman"/>
          <w:sz w:val="28"/>
        </w:rPr>
        <w:t>; январь – май – по 4 урока по 45 минут каждый);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середине учебного дня организуется динамическая пауза продолжительностью не менее 40 минут;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проводится без балльного оценивания знаний обучающихся и домашних заданий;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-дополнительные недельные каникулы в середине третьей четверти при традиционном режиме обучения.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871618">
        <w:rPr>
          <w:rFonts w:ascii="Times New Roman" w:hAnsi="Times New Roman"/>
          <w:sz w:val="28"/>
        </w:rPr>
        <w:t xml:space="preserve">Продолжительность урока во 2–9 классах – 45 минут. Продолжительность учебного года на первой, второй и третьей ступенях </w:t>
      </w:r>
      <w:r w:rsidRPr="00871618">
        <w:rPr>
          <w:rFonts w:ascii="Times New Roman" w:hAnsi="Times New Roman"/>
          <w:sz w:val="28"/>
        </w:rPr>
        <w:lastRenderedPageBreak/>
        <w:t>общего образования составляет 34 недели без учёта государственной (итоговой аттестации), а в первом классе – 33 недели.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Сведения о количестве учащихся, классов, сменах; о количественном и качественном составе учителей приводятся в таблицах 1-6</w:t>
      </w:r>
    </w:p>
    <w:p w:rsidR="000D73FB" w:rsidRDefault="000D73FB" w:rsidP="000D73F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D73FB" w:rsidRDefault="000D73FB" w:rsidP="000D73FB">
      <w:pPr>
        <w:pStyle w:val="a3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B81798">
        <w:rPr>
          <w:rFonts w:ascii="Times New Roman" w:hAnsi="Times New Roman"/>
          <w:b/>
          <w:i/>
          <w:sz w:val="32"/>
          <w:szCs w:val="32"/>
        </w:rPr>
        <w:t>Количество классов по параллелям, количество обучающихся</w:t>
      </w:r>
    </w:p>
    <w:p w:rsidR="000D73FB" w:rsidRPr="00EE05C1" w:rsidRDefault="000D73FB" w:rsidP="000D73FB">
      <w:pPr>
        <w:pStyle w:val="a3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</w:t>
      </w:r>
      <w:r>
        <w:rPr>
          <w:rFonts w:ascii="Times New Roman" w:hAnsi="Times New Roman"/>
          <w:i/>
          <w:sz w:val="28"/>
          <w:szCs w:val="28"/>
        </w:rPr>
        <w:t xml:space="preserve">Таблица </w:t>
      </w:r>
      <w:r w:rsidRPr="00EE05C1">
        <w:rPr>
          <w:rFonts w:ascii="Times New Roman" w:hAnsi="Times New Roman"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Параллель обучения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Количество классов в параллели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Количество обучающихся в параллели (всего)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51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45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40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итого 1-4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160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52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41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40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44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45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итого 5-9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222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0D73FB" w:rsidRPr="00633620" w:rsidTr="000D73FB"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90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0D73FB" w:rsidRPr="00633620" w:rsidTr="000D73FB">
        <w:trPr>
          <w:trHeight w:val="345"/>
        </w:trPr>
        <w:tc>
          <w:tcPr>
            <w:tcW w:w="3190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итого 10-11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66</w:t>
            </w:r>
          </w:p>
        </w:tc>
      </w:tr>
      <w:tr w:rsidR="000D73FB" w:rsidRPr="00633620" w:rsidTr="000D73FB">
        <w:trPr>
          <w:trHeight w:val="300"/>
        </w:trPr>
        <w:tc>
          <w:tcPr>
            <w:tcW w:w="3190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всего 1-11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633620">
              <w:rPr>
                <w:rFonts w:ascii="Times New Roman" w:hAnsi="Times New Roman"/>
                <w:sz w:val="28"/>
              </w:rPr>
              <w:t>448</w:t>
            </w:r>
          </w:p>
        </w:tc>
      </w:tr>
    </w:tbl>
    <w:p w:rsidR="00AF5117" w:rsidRDefault="00AF5117" w:rsidP="00C300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F5117" w:rsidRDefault="00AF5117" w:rsidP="00C300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F5117" w:rsidRDefault="00AF5117" w:rsidP="00C300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73FB" w:rsidRPr="00C30028" w:rsidRDefault="000D73FB" w:rsidP="00C300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30028">
        <w:rPr>
          <w:rFonts w:ascii="Times New Roman" w:hAnsi="Times New Roman"/>
          <w:b/>
          <w:i/>
          <w:sz w:val="32"/>
          <w:szCs w:val="32"/>
        </w:rPr>
        <w:lastRenderedPageBreak/>
        <w:t>Количественные показатели по годам:</w:t>
      </w:r>
    </w:p>
    <w:p w:rsidR="000D73FB" w:rsidRPr="00F96AAF" w:rsidRDefault="000D73FB" w:rsidP="00C30028">
      <w:pPr>
        <w:pStyle w:val="a3"/>
        <w:spacing w:after="0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96AAF">
        <w:rPr>
          <w:rFonts w:ascii="Times New Roman" w:hAnsi="Times New Roman"/>
          <w:i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0D73FB" w:rsidRPr="00633620" w:rsidTr="000D73FB">
        <w:tc>
          <w:tcPr>
            <w:tcW w:w="2392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786" w:type="dxa"/>
            <w:gridSpan w:val="2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Наполняемость</w:t>
            </w:r>
          </w:p>
        </w:tc>
      </w:tr>
      <w:tr w:rsidR="000D73FB" w:rsidRPr="00633620" w:rsidTr="000D73FB">
        <w:tc>
          <w:tcPr>
            <w:tcW w:w="2392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классов -комплектов</w:t>
            </w:r>
          </w:p>
        </w:tc>
        <w:tc>
          <w:tcPr>
            <w:tcW w:w="2393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393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RPr="00633620" w:rsidTr="000D73FB">
        <w:tc>
          <w:tcPr>
            <w:tcW w:w="2392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2393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2393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</w:tr>
      <w:tr w:rsidR="000D73FB" w:rsidRPr="00633620" w:rsidTr="000D73FB">
        <w:trPr>
          <w:trHeight w:val="345"/>
        </w:trPr>
        <w:tc>
          <w:tcPr>
            <w:tcW w:w="2392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</w:tr>
      <w:tr w:rsidR="000D73FB" w:rsidRPr="00633620" w:rsidTr="000D73FB">
        <w:trPr>
          <w:trHeight w:val="300"/>
        </w:trPr>
        <w:tc>
          <w:tcPr>
            <w:tcW w:w="2392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</w:tr>
    </w:tbl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Тенденция: стабильное число классов и стабильное значение наполняемости. Продолжается постепенный рост наполняемости классов среднего звена, так как растет рейтинг популярности школы в микрорайоне города.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функционирует вариативная система образовательных классов, направленная на удовлетворение образовательных потребностей  обучающихся и их родителей: предпрофильная подготовка и профильное обучение (химико-биологический, социально-гуманитарный, физико-математический профили).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школы проводит свою работу в соответствии с Законами РФ «Об образовании», системой действующих стандартов в области обеспечения жизнедеятельности обучающихся.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соблюдены условия предоставления общедоступного и бесплатного начального общего, осн</w:t>
      </w:r>
      <w:r w:rsidR="00C30028">
        <w:rPr>
          <w:rFonts w:ascii="Times New Roman" w:hAnsi="Times New Roman"/>
          <w:sz w:val="28"/>
          <w:szCs w:val="28"/>
        </w:rPr>
        <w:t>овного общего, среднего (полного)</w:t>
      </w:r>
      <w:r>
        <w:rPr>
          <w:rFonts w:ascii="Times New Roman" w:hAnsi="Times New Roman"/>
          <w:sz w:val="28"/>
          <w:szCs w:val="28"/>
        </w:rPr>
        <w:t xml:space="preserve"> общего образования по основным общеобразовательным программам, проводится учет детей, подлежащих обучению, соблюдаются правила приема, отчисления, переводов обучающихся. Образовательные программы на начало учебного года согласованы и утверждены, соответствуют целям образования и социальному запросу населения. </w:t>
      </w:r>
    </w:p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 тенденцию роста качества образования по школе в целом по ступеням образования в частности (по 1-й, 2-й ступеням). По сравнению с итогами 2009/2010 учебного года качественная успеваемость на </w:t>
      </w:r>
      <w:r>
        <w:rPr>
          <w:rFonts w:ascii="Times New Roman" w:hAnsi="Times New Roman"/>
          <w:sz w:val="28"/>
          <w:szCs w:val="28"/>
        </w:rPr>
        <w:lastRenderedPageBreak/>
        <w:t>3-й ступени снизилась на 8,49%. В целом по школе в 2010/2011 уч. году общая успеваемость снизилась на , 52%.</w:t>
      </w:r>
    </w:p>
    <w:p w:rsidR="000D73FB" w:rsidRDefault="000D73FB" w:rsidP="000D73FB">
      <w:pPr>
        <w:pStyle w:val="a3"/>
        <w:ind w:left="0"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73FB" w:rsidRPr="0071696B" w:rsidRDefault="000D73FB" w:rsidP="000D73FB">
      <w:pPr>
        <w:pStyle w:val="a3"/>
        <w:ind w:left="0"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71696B">
        <w:rPr>
          <w:rFonts w:ascii="Times New Roman" w:hAnsi="Times New Roman"/>
          <w:b/>
          <w:i/>
          <w:sz w:val="32"/>
          <w:szCs w:val="32"/>
        </w:rPr>
        <w:t>Результаты учебной деятельности</w:t>
      </w:r>
    </w:p>
    <w:p w:rsidR="000D73FB" w:rsidRDefault="000D73FB" w:rsidP="000D73FB">
      <w:pPr>
        <w:pStyle w:val="a3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1"/>
        <w:gridCol w:w="1566"/>
        <w:gridCol w:w="1350"/>
        <w:gridCol w:w="1365"/>
        <w:gridCol w:w="1485"/>
        <w:gridCol w:w="2144"/>
      </w:tblGrid>
      <w:tr w:rsidR="000D73FB" w:rsidRPr="00633620" w:rsidTr="000D73FB">
        <w:trPr>
          <w:trHeight w:val="345"/>
        </w:trPr>
        <w:tc>
          <w:tcPr>
            <w:tcW w:w="166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6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Успеваемость в %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0D73FB" w:rsidRPr="00633620" w:rsidTr="000D73FB">
        <w:trPr>
          <w:trHeight w:val="360"/>
        </w:trPr>
        <w:tc>
          <w:tcPr>
            <w:tcW w:w="166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По ступеням обучения</w:t>
            </w:r>
          </w:p>
        </w:tc>
      </w:tr>
      <w:tr w:rsidR="000D73FB" w:rsidRPr="00633620" w:rsidTr="000D73FB">
        <w:trPr>
          <w:trHeight w:val="269"/>
        </w:trPr>
        <w:tc>
          <w:tcPr>
            <w:tcW w:w="166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</w:tr>
      <w:tr w:rsidR="000D73FB" w:rsidRPr="00633620" w:rsidTr="000D73FB">
        <w:tc>
          <w:tcPr>
            <w:tcW w:w="166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566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</w:tr>
      <w:tr w:rsidR="000D73FB" w:rsidRPr="00633620" w:rsidTr="000D73FB">
        <w:tc>
          <w:tcPr>
            <w:tcW w:w="166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566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28,79</w:t>
            </w:r>
          </w:p>
        </w:tc>
      </w:tr>
      <w:tr w:rsidR="000D73FB" w:rsidRPr="00633620" w:rsidTr="000D73FB">
        <w:tc>
          <w:tcPr>
            <w:tcW w:w="166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566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99,48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44,15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38,99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</w:tbl>
    <w:p w:rsidR="000D73FB" w:rsidRDefault="000D73FB" w:rsidP="000D73FB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образовательного процесса в школе созданы необходимые условия, работает достаточно квалифицированный и стабильный педагогический коллектив, в том числе  педагоги, обеспечивающие художественно-эстетический цикл. Несомненным достоинством последних лет является профессиональная работа психологической службы школы. Педагогам школы присущ позитивный настрой в отношении  обучающихся: соблюдение прав и свобод участников образовательного процесса. Более подробная информация по категориям, возрастному  составу, стажу работы проводится в таблицах №4-6.</w:t>
      </w:r>
    </w:p>
    <w:p w:rsidR="000D73FB" w:rsidRDefault="000D73FB" w:rsidP="000D73F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12B85">
        <w:rPr>
          <w:rFonts w:ascii="Times New Roman" w:hAnsi="Times New Roman"/>
          <w:b/>
          <w:i/>
          <w:sz w:val="32"/>
          <w:szCs w:val="32"/>
        </w:rPr>
        <w:t>Количественный состав педагогического коллектива</w:t>
      </w:r>
    </w:p>
    <w:p w:rsidR="000D73FB" w:rsidRPr="00312B85" w:rsidRDefault="000D73FB" w:rsidP="000D73FB">
      <w:pPr>
        <w:spacing w:after="0"/>
        <w:jc w:val="right"/>
        <w:rPr>
          <w:rFonts w:ascii="Times New Roman" w:hAnsi="Times New Roman"/>
          <w:b/>
          <w:i/>
          <w:sz w:val="32"/>
          <w:szCs w:val="32"/>
        </w:rPr>
      </w:pPr>
      <w:r w:rsidRPr="00312B85">
        <w:rPr>
          <w:rFonts w:ascii="Times New Roman" w:hAnsi="Times New Roman"/>
          <w:i/>
          <w:sz w:val="28"/>
          <w:szCs w:val="28"/>
        </w:rPr>
        <w:t>Таблица  №4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1320"/>
        <w:gridCol w:w="1290"/>
        <w:gridCol w:w="1350"/>
        <w:gridCol w:w="1392"/>
      </w:tblGrid>
      <w:tr w:rsidR="000D73FB" w:rsidRPr="00633620" w:rsidTr="000D73FB">
        <w:trPr>
          <w:trHeight w:val="360"/>
        </w:trPr>
        <w:tc>
          <w:tcPr>
            <w:tcW w:w="110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Образование и категория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Количество учителей</w:t>
            </w:r>
          </w:p>
        </w:tc>
      </w:tr>
      <w:tr w:rsidR="000D73FB" w:rsidRPr="00633620" w:rsidTr="000D73FB">
        <w:trPr>
          <w:trHeight w:val="30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0D73FB" w:rsidRPr="00633620" w:rsidTr="000D73FB">
        <w:trPr>
          <w:trHeight w:val="33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D73FB" w:rsidRPr="00633620" w:rsidTr="000D73FB">
        <w:tc>
          <w:tcPr>
            <w:tcW w:w="110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86,0</w:t>
            </w:r>
          </w:p>
        </w:tc>
      </w:tr>
      <w:tr w:rsidR="000D73FB" w:rsidRPr="00633620" w:rsidTr="000D73FB">
        <w:tc>
          <w:tcPr>
            <w:tcW w:w="110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Н/высшее образование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0D73FB" w:rsidRPr="00633620" w:rsidTr="000D73FB">
        <w:tc>
          <w:tcPr>
            <w:tcW w:w="110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0D73FB" w:rsidRPr="00633620" w:rsidTr="000D73FB">
        <w:trPr>
          <w:trHeight w:val="360"/>
        </w:trPr>
        <w:tc>
          <w:tcPr>
            <w:tcW w:w="110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Разряды: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RPr="00633620" w:rsidTr="000D73FB">
        <w:trPr>
          <w:trHeight w:val="285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08-11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0D73FB" w:rsidRPr="00633620" w:rsidTr="000D73FB">
        <w:trPr>
          <w:trHeight w:val="420"/>
        </w:trPr>
        <w:tc>
          <w:tcPr>
            <w:tcW w:w="110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Имеют категорию: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RPr="00633620" w:rsidTr="000D73FB">
        <w:trPr>
          <w:trHeight w:val="36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Высшую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</w:tr>
      <w:tr w:rsidR="000D73FB" w:rsidRPr="00633620" w:rsidTr="000D73FB">
        <w:trPr>
          <w:trHeight w:val="405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Первую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0D73FB" w:rsidRPr="00633620" w:rsidTr="000D73FB">
        <w:trPr>
          <w:trHeight w:val="225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Вторую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0D73FB" w:rsidRPr="00633620" w:rsidTr="000D73FB">
        <w:trPr>
          <w:trHeight w:val="330"/>
        </w:trPr>
        <w:tc>
          <w:tcPr>
            <w:tcW w:w="110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Почетное звание: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RPr="00633620" w:rsidTr="000D73FB">
        <w:trPr>
          <w:trHeight w:val="33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C300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0D73FB" w:rsidRPr="00633620" w:rsidTr="000D73FB">
        <w:trPr>
          <w:trHeight w:val="30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«Отличник» просвещения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D73FB" w:rsidRPr="00633620" w:rsidTr="000D73FB">
        <w:trPr>
          <w:trHeight w:val="510"/>
        </w:trPr>
        <w:tc>
          <w:tcPr>
            <w:tcW w:w="110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Старший учитель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0D73FB" w:rsidRPr="00633620" w:rsidTr="000D73FB">
        <w:tc>
          <w:tcPr>
            <w:tcW w:w="1101" w:type="dxa"/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D73FB" w:rsidRDefault="000D73FB" w:rsidP="000D73FB">
      <w:pPr>
        <w:pStyle w:val="a3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0D73FB" w:rsidRPr="00443249" w:rsidRDefault="000D73FB" w:rsidP="000D73FB">
      <w:pPr>
        <w:pStyle w:val="a3"/>
        <w:ind w:left="0"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443249">
        <w:rPr>
          <w:rFonts w:ascii="Times New Roman" w:hAnsi="Times New Roman"/>
          <w:b/>
          <w:i/>
          <w:sz w:val="32"/>
          <w:szCs w:val="32"/>
        </w:rPr>
        <w:t>«Анализ кадрового состава по стажу»</w:t>
      </w:r>
    </w:p>
    <w:p w:rsidR="000D73FB" w:rsidRDefault="000D73FB" w:rsidP="000D73FB">
      <w:pPr>
        <w:pStyle w:val="a3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1701"/>
        <w:gridCol w:w="1984"/>
        <w:gridCol w:w="1950"/>
      </w:tblGrid>
      <w:tr w:rsidR="000D73FB" w:rsidRPr="00633620" w:rsidTr="000D73FB">
        <w:trPr>
          <w:trHeight w:val="405"/>
        </w:trPr>
        <w:tc>
          <w:tcPr>
            <w:tcW w:w="1951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0D73FB" w:rsidRPr="00633620" w:rsidTr="000D73FB">
        <w:trPr>
          <w:trHeight w:val="225"/>
        </w:trPr>
        <w:tc>
          <w:tcPr>
            <w:tcW w:w="1951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1-3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3-5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Более 30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</w:tr>
      <w:tr w:rsidR="000D73FB" w:rsidRPr="00633620" w:rsidTr="000D73FB">
        <w:tc>
          <w:tcPr>
            <w:tcW w:w="1951" w:type="dxa"/>
          </w:tcPr>
          <w:p w:rsidR="000D73FB" w:rsidRPr="00633620" w:rsidRDefault="000D73FB" w:rsidP="000D7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D73FB" w:rsidRDefault="000D73FB" w:rsidP="000D73FB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0D73FB" w:rsidRPr="00312B85" w:rsidRDefault="000D73FB" w:rsidP="000D73F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12B85">
        <w:rPr>
          <w:rFonts w:ascii="Times New Roman" w:hAnsi="Times New Roman"/>
          <w:b/>
          <w:i/>
          <w:sz w:val="32"/>
          <w:szCs w:val="32"/>
        </w:rPr>
        <w:t>«Возрастной состав педагогов»</w:t>
      </w:r>
    </w:p>
    <w:p w:rsidR="000D73FB" w:rsidRDefault="000D73FB" w:rsidP="000D73FB">
      <w:pPr>
        <w:pStyle w:val="a3"/>
        <w:spacing w:after="0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126"/>
        <w:gridCol w:w="2126"/>
        <w:gridCol w:w="2027"/>
        <w:gridCol w:w="1766"/>
      </w:tblGrid>
      <w:tr w:rsidR="000D73FB" w:rsidRPr="00633620" w:rsidTr="000D73FB">
        <w:trPr>
          <w:trHeight w:val="525"/>
        </w:trPr>
        <w:tc>
          <w:tcPr>
            <w:tcW w:w="1526" w:type="dxa"/>
            <w:vMerge w:val="restart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Средний возраст, лет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0D73FB" w:rsidRPr="00633620" w:rsidTr="000D73FB">
        <w:trPr>
          <w:trHeight w:val="450"/>
        </w:trPr>
        <w:tc>
          <w:tcPr>
            <w:tcW w:w="1526" w:type="dxa"/>
            <w:vMerge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50-60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больше 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0D73FB" w:rsidRPr="00633620" w:rsidTr="000D73FB">
        <w:tc>
          <w:tcPr>
            <w:tcW w:w="1526" w:type="dxa"/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0D73FB" w:rsidRPr="00633620" w:rsidRDefault="000D73FB" w:rsidP="000D73FB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0D73FB" w:rsidRPr="00633620" w:rsidRDefault="000D73FB" w:rsidP="000D73F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0E">
        <w:rPr>
          <w:rFonts w:ascii="Times New Roman" w:hAnsi="Times New Roman"/>
          <w:sz w:val="28"/>
          <w:szCs w:val="28"/>
        </w:rPr>
        <w:lastRenderedPageBreak/>
        <w:t>Кадровый состав изменялся, но в целом оставался стабильным, достигшим достаточно высокого уровня профессионализма и ответственности за результаты своего труда.</w:t>
      </w:r>
      <w:r>
        <w:rPr>
          <w:rFonts w:ascii="Times New Roman" w:hAnsi="Times New Roman"/>
          <w:sz w:val="28"/>
          <w:szCs w:val="28"/>
        </w:rPr>
        <w:t xml:space="preserve">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предоставляемых услуг в школе – это высочайший профессиональный уровень преподавателей, многие из которых являются участниками Всероссийского фестиваля педагогических идей «Открытый урок». За руководство ученическими работами 8 учителей награждены дипломами фестиваля исследовательских и творческих работ учащихся «Портфолио»  Издательского дома «1 сентября». Два педагога приняли участие в заочной международной научно-практической конференции «Управление профессиональным ростом педагога», 2010 г. Учителя русского языка активно принимают участие во Всероссийском конкурсе «Урок письма». 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Кочкина И.В., учитель начальных классов, - призёр муниципального этапа областного конкурса «Самый классный классный  - 2009». Михайлова О.В., учитель математики – призер городского конкурса «Учитель года -2010».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эксперименту, творческий поиск новых форм работы в учебно-воспитательном процессе – визитная карточка педагогического коллектива: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создана программа развития школы до 2015 г.;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внедряются программы: «Здоровое поколение», которая была отмечена грамотой областного психолого - валеологического центра в 2008г., «Юный патриот», Духовно-нравственное развитие школьников»;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успешно реализуется профильное обучение в классах социально-гуманитарного, физико-математического, химико-биологического направлений;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налажено сотрудничество с вузами и сузами г. Прок</w:t>
      </w:r>
      <w:r w:rsidR="00C30028">
        <w:rPr>
          <w:rFonts w:ascii="Times New Roman" w:hAnsi="Times New Roman"/>
          <w:sz w:val="28"/>
          <w:szCs w:val="28"/>
        </w:rPr>
        <w:t>опьевска, Новокузнецка, Кемерово</w:t>
      </w:r>
      <w:r>
        <w:rPr>
          <w:rFonts w:ascii="Times New Roman" w:hAnsi="Times New Roman"/>
          <w:sz w:val="28"/>
          <w:szCs w:val="28"/>
        </w:rPr>
        <w:t>, Омска, Томска, Новосибирска; на протяжении последних трёх лет в вузы поступает 95% выпускников.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работает научное </w:t>
      </w:r>
      <w:r w:rsidR="00C30028">
        <w:rPr>
          <w:rFonts w:ascii="Times New Roman" w:hAnsi="Times New Roman"/>
          <w:sz w:val="28"/>
          <w:szCs w:val="28"/>
        </w:rPr>
        <w:t>общество учащихся «Интеллектуал»</w:t>
      </w:r>
      <w:r>
        <w:rPr>
          <w:rFonts w:ascii="Times New Roman" w:hAnsi="Times New Roman"/>
          <w:sz w:val="28"/>
          <w:szCs w:val="28"/>
        </w:rPr>
        <w:t xml:space="preserve"> в рамках программы «Одарённые дети»;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действуют кружки и клубы по интересам: вокальные группы «Вдохновение» и «Ноктюрн», кружок «Рукодельница», «Юный стрелок», секция  баскетбола отряды ДЮП, ЮИД, ЮДМ;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научно - экспериментальная работа на пришкольном участке, который занимал призовые места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 городском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420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смотре учебно-опытных участков).</w:t>
      </w:r>
    </w:p>
    <w:p w:rsidR="000D73FB" w:rsidRPr="0042033C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участвуют во всероссийских, региональных, городских научно-практических конференциях, олимпиадах, конкурсах, спортивных соревнованиях и неизменно занимают призовые места. За последние 5 лет  растет число отличников, стипендиатов губернаторской премии и главы города, золотых и серебренных медалистов.</w:t>
      </w:r>
    </w:p>
    <w:p w:rsidR="000D73FB" w:rsidRDefault="000D73FB" w:rsidP="000D73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>Основной проблемой школы остается развитие инфраструктуры.  Для качественного осуществления об</w:t>
      </w:r>
      <w:r>
        <w:rPr>
          <w:rFonts w:ascii="Times New Roman" w:hAnsi="Times New Roman"/>
          <w:sz w:val="28"/>
          <w:szCs w:val="28"/>
        </w:rPr>
        <w:t>разовательной инициативы  необходимо создать условия согласно новым требованиям СанПиНа</w:t>
      </w:r>
      <w:r w:rsidRPr="005C64F2">
        <w:rPr>
          <w:rFonts w:ascii="Times New Roman" w:hAnsi="Times New Roman"/>
          <w:sz w:val="28"/>
          <w:szCs w:val="28"/>
        </w:rPr>
        <w:t xml:space="preserve">.  Для организации внеурочной деятельности в соответствии со стандартами нового поколения не хватает помещений: </w:t>
      </w:r>
      <w:r>
        <w:rPr>
          <w:rFonts w:ascii="Times New Roman" w:hAnsi="Times New Roman"/>
          <w:sz w:val="28"/>
          <w:szCs w:val="28"/>
        </w:rPr>
        <w:t>кабинетов для занятий, актового зала, а так же необходимо улучшить состояние материально-технической базы школы: оснащение каждого кабинета компьютерной техникой, интерактивными досками и другими дидактическими материалами согласно необходимого перечня.</w:t>
      </w:r>
    </w:p>
    <w:p w:rsidR="000D73FB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73FB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593F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</w:t>
      </w:r>
    </w:p>
    <w:p w:rsidR="00BB593F" w:rsidRDefault="00BB593F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B593F" w:rsidRDefault="00BB593F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73FB" w:rsidRPr="00B5143E" w:rsidRDefault="00BB593F" w:rsidP="00C30028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B593F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D73FB" w:rsidRPr="005C64F2">
        <w:rPr>
          <w:rFonts w:ascii="Times New Roman" w:hAnsi="Times New Roman"/>
          <w:sz w:val="28"/>
          <w:szCs w:val="28"/>
        </w:rPr>
        <w:t xml:space="preserve"> </w:t>
      </w:r>
      <w:r w:rsidR="000D73FB" w:rsidRPr="005C64F2">
        <w:rPr>
          <w:rFonts w:ascii="Times New Roman" w:hAnsi="Times New Roman"/>
          <w:b/>
          <w:sz w:val="28"/>
          <w:szCs w:val="28"/>
        </w:rPr>
        <w:t>Характеристика задач в рамках реализации национальн</w:t>
      </w:r>
      <w:r w:rsidR="000D73FB">
        <w:rPr>
          <w:rFonts w:ascii="Times New Roman" w:hAnsi="Times New Roman"/>
          <w:b/>
          <w:sz w:val="28"/>
          <w:szCs w:val="28"/>
        </w:rPr>
        <w:t>ой образовательной инициативы «</w:t>
      </w:r>
      <w:r w:rsidR="000D73FB" w:rsidRPr="005C64F2">
        <w:rPr>
          <w:rFonts w:ascii="Times New Roman" w:hAnsi="Times New Roman"/>
          <w:b/>
          <w:sz w:val="28"/>
          <w:szCs w:val="28"/>
        </w:rPr>
        <w:t>Наша новая школа» и Послания Президента РФ Д.А. Медведева Федеральному собранию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C64F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4F2">
        <w:rPr>
          <w:rFonts w:ascii="Times New Roman" w:hAnsi="Times New Roman"/>
          <w:sz w:val="28"/>
          <w:szCs w:val="28"/>
        </w:rPr>
        <w:t>Современное школьное образование должно соответствовать целям опережающего развития. В национальной образовательной инициативе «Наша новая школа», утвержденной Президентом Российской Федерации Д.М. Медведевым, говорится: 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ситуации».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 Решить эти задачи должно обновленное содержание образования, переход к стандартам нового поколения. Новые образовательные стандарты предполагают формирование у школьников  не только предметных, но и метапредметных образовательных результатов. Результатом образования должно стать «не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Одновременно с внедрением новых образовательных стандартов необходимо выстроить систему поиска, поддержки и сопровождения талантливых детей.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 Важной задачей также является «совершенствование учительского корпуса», а именно, внедрение системы моральных и материальных стимулов поддержки учителей, привлечение к профессии учителя талантливой молодежи.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Должна измениться и школьная инфраструктура. «Нельзя допускать проведение занятий в аварийных, ветхих, приспособленных помещениях, представляющих угрозу для жизни и здоровья детей». 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Важным направлением является сохранение и укрепление здоровья школьников. Этим вопросом должны заниматься и учителя. К детям должен </w:t>
      </w:r>
      <w:r w:rsidRPr="005C64F2">
        <w:rPr>
          <w:rFonts w:ascii="Times New Roman" w:hAnsi="Times New Roman"/>
          <w:sz w:val="28"/>
          <w:szCs w:val="28"/>
        </w:rPr>
        <w:lastRenderedPageBreak/>
        <w:t>быть осуществлен индивидуальный подход в обучении, и это позитивно скажется на их здоровье.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Государство планирует расширить самостоятельность школ.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Вышеперечисленные задачи являются основой проекта перспективного развития школы.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Актуальность разработки данного проекта обусловлена тем, что в последние годы произошли значительные изменения внешних и внутренних условий жизнедеятельности школы, которые диктуют необходимость дальнейшего перспективного развития школы в соответствии с поставленными задачами модернизации российского образования.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Выявлены следующие проблемы: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- Повышение качества образования в соответствии с концепцией модернизации Российского образования, соответствующего требованиям современного информационного общества в условиях компетентностного подхода.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- Изменение школьной инфраструктуры: реконструкция школьного здания </w:t>
      </w:r>
      <w:r>
        <w:rPr>
          <w:rFonts w:ascii="Times New Roman" w:hAnsi="Times New Roman"/>
          <w:sz w:val="28"/>
          <w:szCs w:val="28"/>
        </w:rPr>
        <w:t>для создания дополнительных помещений необходимых для проведения полноценных занятий внеурочной деятельности.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 - Укрепление учебно-материальной базы школы, улучшение обеспечения учебными и учебно-методическими пособиями, компьютерным оборудованием.</w:t>
      </w:r>
    </w:p>
    <w:p w:rsidR="000D73FB" w:rsidRDefault="000D73FB" w:rsidP="000D73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93F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C0" w:rsidRDefault="003220C0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0C0" w:rsidRDefault="003220C0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3FB" w:rsidRPr="005C64F2" w:rsidRDefault="00BB593F" w:rsidP="000D7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0D73FB" w:rsidRPr="005C64F2">
        <w:rPr>
          <w:rFonts w:ascii="Times New Roman" w:hAnsi="Times New Roman"/>
          <w:b/>
          <w:sz w:val="28"/>
          <w:szCs w:val="28"/>
        </w:rPr>
        <w:t>Постановка цели деятельности и конкретных достижимых задач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>Цель проекта: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64F2">
        <w:rPr>
          <w:rFonts w:ascii="Times New Roman" w:hAnsi="Times New Roman"/>
          <w:sz w:val="28"/>
          <w:szCs w:val="28"/>
        </w:rPr>
        <w:t>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b/>
          <w:sz w:val="28"/>
          <w:szCs w:val="28"/>
        </w:rPr>
        <w:t xml:space="preserve"> </w:t>
      </w:r>
      <w:r w:rsidRPr="005C64F2">
        <w:rPr>
          <w:rFonts w:ascii="Times New Roman" w:hAnsi="Times New Roman"/>
          <w:sz w:val="28"/>
          <w:szCs w:val="28"/>
        </w:rPr>
        <w:t>Задачи проекта:</w:t>
      </w:r>
    </w:p>
    <w:p w:rsidR="000D73FB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0D73FB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>Совершенствовать систему выявления, поддержки  и сопровождения талантливых детей и создавать условия для реализации их способностей.</w:t>
      </w:r>
    </w:p>
    <w:p w:rsidR="000D73FB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0D73FB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>Привлекать финансовые средства для развития школьной инфраструктуры.</w:t>
      </w:r>
    </w:p>
    <w:p w:rsidR="000D73FB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 xml:space="preserve">Совершенствовать систему сохранения и  укрепления здоровья детей и создавать условия для эффективного использования здоровьесберегающих технологий. </w:t>
      </w:r>
    </w:p>
    <w:p w:rsidR="000D73FB" w:rsidRPr="00C575EA" w:rsidRDefault="000D73FB" w:rsidP="000D73FB">
      <w:pPr>
        <w:pStyle w:val="a3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575EA">
        <w:rPr>
          <w:rFonts w:ascii="Times New Roman" w:hAnsi="Times New Roman"/>
          <w:sz w:val="28"/>
          <w:szCs w:val="28"/>
        </w:rPr>
        <w:t>Повышать качество и эффективность услуг, предоставляемых за счет бюджетных средств.</w:t>
      </w:r>
    </w:p>
    <w:p w:rsidR="000D73FB" w:rsidRDefault="000D73FB" w:rsidP="000D7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3FB" w:rsidRPr="005C64F2" w:rsidRDefault="000D73FB" w:rsidP="000D7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73FB" w:rsidRPr="005C64F2" w:rsidRDefault="00BB593F" w:rsidP="00BB593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0D73FB" w:rsidRPr="005C64F2">
        <w:rPr>
          <w:rFonts w:ascii="Times New Roman" w:hAnsi="Times New Roman"/>
          <w:b/>
          <w:sz w:val="28"/>
          <w:szCs w:val="28"/>
        </w:rPr>
        <w:t xml:space="preserve">  Сроки реализации проекта: 2011 – 2015 гг.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b/>
          <w:sz w:val="28"/>
          <w:szCs w:val="28"/>
        </w:rPr>
        <w:t xml:space="preserve"> </w:t>
      </w:r>
      <w:r w:rsidRPr="005C64F2">
        <w:rPr>
          <w:rFonts w:ascii="Times New Roman" w:hAnsi="Times New Roman"/>
          <w:sz w:val="28"/>
          <w:szCs w:val="28"/>
        </w:rPr>
        <w:t>Этапы реализации проекта: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1 этап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4F2">
        <w:rPr>
          <w:rFonts w:ascii="Times New Roman" w:hAnsi="Times New Roman"/>
          <w:sz w:val="28"/>
          <w:szCs w:val="28"/>
        </w:rPr>
        <w:t>–подг</w:t>
      </w:r>
      <w:r>
        <w:rPr>
          <w:rFonts w:ascii="Times New Roman" w:hAnsi="Times New Roman"/>
          <w:sz w:val="28"/>
          <w:szCs w:val="28"/>
        </w:rPr>
        <w:t>отовительный (</w:t>
      </w:r>
      <w:r w:rsidRPr="005C64F2">
        <w:rPr>
          <w:rFonts w:ascii="Times New Roman" w:hAnsi="Times New Roman"/>
          <w:sz w:val="28"/>
          <w:szCs w:val="28"/>
        </w:rPr>
        <w:t>2011 г.) Проблемный анализ эффективности работы школы, разработка плана мероприятий, расчет финансовых затрат.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 этап – основной (</w:t>
      </w:r>
      <w:r w:rsidRPr="005C64F2">
        <w:rPr>
          <w:rFonts w:ascii="Times New Roman" w:hAnsi="Times New Roman"/>
          <w:sz w:val="28"/>
          <w:szCs w:val="28"/>
        </w:rPr>
        <w:t>2012 – 2013г.) Работа школы по реализации направлений национальной образовательной инициативы «Наша новая школа».</w:t>
      </w:r>
    </w:p>
    <w:p w:rsidR="000D73FB" w:rsidRPr="005C64F2" w:rsidRDefault="000D73FB" w:rsidP="000D73F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64F2">
        <w:rPr>
          <w:rFonts w:ascii="Times New Roman" w:hAnsi="Times New Roman"/>
          <w:sz w:val="28"/>
          <w:szCs w:val="28"/>
        </w:rPr>
        <w:t xml:space="preserve">   3 этап – обобщающий (2015г.) Проблемный анализ результатов реализации проекта, определение перспектив дальнейшего развития школы.</w:t>
      </w:r>
    </w:p>
    <w:p w:rsidR="000D73FB" w:rsidRDefault="000D73FB"/>
    <w:p w:rsidR="00BB593F" w:rsidRDefault="00BB593F" w:rsidP="000D73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73FB" w:rsidRDefault="00BB593F" w:rsidP="000D73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6.</w:t>
      </w:r>
      <w:r w:rsidR="00FE168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D73FB" w:rsidRPr="000D73FB">
        <w:rPr>
          <w:rFonts w:ascii="Times New Roman" w:hAnsi="Times New Roman" w:cs="Times New Roman"/>
          <w:b/>
          <w:i/>
          <w:sz w:val="32"/>
          <w:szCs w:val="32"/>
        </w:rPr>
        <w:t>Содержание, механизм реализации и ожидаемые результаты. Ресурсное обеспечение проекта</w:t>
      </w:r>
    </w:p>
    <w:tbl>
      <w:tblPr>
        <w:tblW w:w="10380" w:type="dxa"/>
        <w:tblCellMar>
          <w:left w:w="0" w:type="dxa"/>
          <w:right w:w="0" w:type="dxa"/>
        </w:tblCellMar>
        <w:tblLook w:val="04A0"/>
      </w:tblPr>
      <w:tblGrid>
        <w:gridCol w:w="564"/>
        <w:gridCol w:w="5785"/>
        <w:gridCol w:w="1726"/>
        <w:gridCol w:w="2305"/>
      </w:tblGrid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Переход на новые федеральные образовательные стандарты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качественное обновление содержания общего образования;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повышение уровня компетентности выпускников в условиях современного социально-экономического развития;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реализации модели предпрофильного образования;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расширение перечня педагогических технологий, регулярно применяемых в образовательном процессе;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готовность материально-технических условий школы для введения новых образовательных стандартов;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рост численности учащихся, обучающихся по ФГОС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Введение ФГОС начального общего образования, основного общего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 класс - с 2011 г.,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 класс –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 2015 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учебно-воспитательной работе(УВР)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внедрения ФГОС начального общего образования.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Разработка школьной программы организации и содержания внеурочной деятельности обучающихся во второй половине дня в начальной школе.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 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Переход на новые учебно-методические комплекты начальной школы, обеспечивающие реализацию ФГОС.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 и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 элективных курсов,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 Зам.директора по воспитательной работе(ВР)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демографической ситуации по микрорайону, определение перспективы комплектования начальной школы и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 классов в старшей школе.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Оценка качества результатов обучения на всех ступенях общего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в итоговой аттестации учащихся начальной школы.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по математике и русскому языку в 5-х классах.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плану-графику подготовки и проведения государственной итоговой аттестации выпускников, освоивших образовательные программы основного общего образования, с участием территориальной экзаменационной комиссии. 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Работа по плану-графику мероприятий по подготовке выпускников к сдаче единого государственного экзамена.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Апробация модели государственной итоговой аттестации выпускников основного общего образования в новой форме по предметам по выбору.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школы в части «Достижение современного качества образования»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Влияние способа организации предпрофильного обучения на повышение качества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Расширение рамок предпрофильного обучения (в соответствии с социальным заказом)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2010-2013 гг.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технологий контроля качества знаний в 1-11 классах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2012-2013 гг.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лекционно-семинарской и зачетной системы обучения в 10-11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 классах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школьн. методических объединений (ШМО)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Расширение форм получения образования (очно -заочное обучение, обучение по индивидуальному плану)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2012-2014 гг.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Новшества в технологиях обучения, воспитания, развития учеников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Введение в учебно-воспитательный процесс образовательных технологий: модульной, ИКТ, гуманно-личностной, проектной, рейтинговой, обучение на коммуникативно-познавательной и проблемно-поисковой основах.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2011-2014 гг.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школы по УВР,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Новшества в условиях организации профильного обучения.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Привлечение преподавателей вузов к работе в предпрофильных классах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школы в части «Формирование профильного обучения с учетом социального заказа общества и реалий социума микрорайона школы»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духовной, нравственно богатой личности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акций милосердия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вечеров, интеллектуальных конкурсов, викторин, читательских конференций, совместн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>о с центром детского творчества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музеи, посещение театров, выставок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Воспитание патриота и гражданина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по празднованию юбилейных дат в истории России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2011-2015 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организациями ветеранов Великой Отечественной войны и локальных войн (проведение встреч с учениками, классных часов, поздравления ветеранов войны и труда с праздниками, организация для них праздничных школьных концертов)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студий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памятных мест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совместно с ЖЭУ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поддержки талантливых детей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оптимального развития одаренных детей;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рост количества учащихся, участвующих во Всероссийской олимпиаде школьников, дистанционных олимпиадах, конкурсах, соревнованиях разного уровня;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рост количества учащихся, занимающихся научно-практической и проектной деятельностью;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повышение ИКТ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компетентности учащихся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школьной программы «Одаренные дети».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2011-2015г.г.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олимпиад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конкурсах, соревнованиях, смотрах разного уровня, дистанционных олимпиадах.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Зам.директора по 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«Ученик года», участие в городском конкурсе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Работа школьного научного общества.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школьной научно-практической конференции.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 планам работы ШМО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дней самоуправления.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дней успеха с приглашением людей,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имеющим профессиональные достижения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Разработка проекта дистанционного образования учащихся.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 уч.г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Консультативная деятельность по построению образовательной траектории одарённых детей.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в школе с портфолио учащегося.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 уч.г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учительского корпуса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сохранение доли педагогов с высшей и первой квалификационной категорией, при прохождении аттестации в новой форме;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увеличение числа молодых специалистов, привлеченных к педагогической деятельности;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профессиональной компетентности педагогов школы;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повышение ИКТ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компетентности педагогов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учителей-предметников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городских научно-практических конференциях, семинарах, круглых столах, направленных на повышение квалификации педагогов.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мастер – классов, открытых мероприятий педагогами школы, педагогами высшей школы, специалистами методических служб.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плана курсовой подготовки педагогов школы.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Мотивирование педагогов на повышение квалификации через дистанционную форму обучения.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Пополнение школьной медиатеки передового педагогического опыта «Уроки педагогического мастерства».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в школе с портфолио педагога.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 уч.г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Апробация новой формы аттестации педагогических кадров.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2011-2012 уч.г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практики студентов Московского государственного областного социального гуманитарного института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школы в части «Формирование профильного обучения с учетом социального заказа общества и реалий социума микрорайона школы»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классных руководителей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«Лучший класс года»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развития сотрудничества классного руководителя с классом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школьной инфраструктуры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материально- технической базы школы, повышение уровня обеспечения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современным учебным оборудованием;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образование и включение в школьную инфраструктуру новых составляющих;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создание единой образовательной информационной среды;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расширение области взаимодействия школы с другими организациями;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организации внеклассной работы, дополнительного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Мониторинг оснащения учебного процесса и оборудования учебных помещений.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АХЧ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фонда, мультимедиатеки современными учебно-методическими комплексами, информационными цифровыми ресурсами.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Оснащение кабинетов школы современными учебно-дидактическими материалами, электронными образовательными ресурсами.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здания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Зам.директора по АХЧ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пришкольного участка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2012-2014 гг.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ВР Зам.директора по АХЧ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Руководители ШМО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программы «Электронный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дневник», «Электронный журнал»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2012-2014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Зам.директора по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Переход на электронный школьный документооборот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2012-2013 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образовательного пространства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совместных планов работы школы и отдела по делам </w:t>
            </w:r>
            <w:r w:rsidR="00FE168C" w:rsidRPr="000D73FB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взаимодействия, учреждениями культуры, общественными организациями, учреждениями дополнительного образования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школьников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создание здоровье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сберегающих условий обучения, обеспечивающих укрепление здоровья учащихся;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сохранение показателей состояния здоровья школьников и педагогов;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достижение высокого уровня мотивации учащихся к ведению здорового образа жизни;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учащихся, вовлеченных во внеклассную спортивную деятельность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школьной программы Здоровье»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 с детьми и родителями на базе школы.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Руководитель ШМО физич.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Дней безопасности.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Зам.директора по безопасности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Работа спортивных школьных команд.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Руководитель ШМО физич.культуры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работы - детского оздоровительного лагеря в период школьных каникул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045" w:type="dxa"/>
            <w:hideMark/>
          </w:tcPr>
          <w:p w:rsidR="000D73FB" w:rsidRPr="000D73FB" w:rsidRDefault="00BB593F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материальной базы </w:t>
            </w:r>
            <w:r w:rsidR="000D73FB"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кабинета в школе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школы в части «Совершенствование работы по сохранению здоровья участников образовательного процесса»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Обеспечение сохранения и укрепления здоровья учащихся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учеников 1-11 класса. Регулярное проведение медосмотров обучающихся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Медработник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Диагностика интеллектуальной и эмоционально- волевой сферы учеников 10-17 лет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Лонгитюдные медико-психолого педагогические исследования особенностей развития детей 6 – 11 лет 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Педагог-психолог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выполнения санитарных правил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образовательном процессе малых форм физического воспитания и психологической разгрузки (минуты релаксации, музыкальные паузы и т.д.)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Педагоорганизатор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Работа лектория по профилактике алкогольной и наркотической зависимости для учащихся (совместно с медучреждениями)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Соц.педагог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6045" w:type="dxa"/>
            <w:hideMark/>
          </w:tcPr>
          <w:p w:rsidR="000D73FB" w:rsidRPr="000D73FB" w:rsidRDefault="000D73FB" w:rsidP="00BB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спортивных соревнований и праздников на всех ступенях обучения, общешкольных Дней здоровья (раз в</w:t>
            </w:r>
            <w:r w:rsidR="00BB593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Современное оборудование спортивного зала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2011-2014 уч.г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Профилактическая витаминизация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FE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Внедрение модели школы полного дня для 1-5 классов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2013-2015 уч.г.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специальных воспитательных мероприятий для детей с девиантным поведением: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раннее выявление и учет детей с девиантным поведением;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посещение на дому совместно с представителями отдела по делам несовершеннолетних и родительским комитетом;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работа школьной педагогической комиссии;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организация внеурочной занятости и организация летнего отдыха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 здоровьесберегающих культурных традиций семьи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и детей к участию и проведению совместных спортивных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 Классные руководители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с привлечением специалистов лекций, родительских собраний, конференций, посвященных возрастным особенностям обучающихся, проблемам наркозависимости, сохранения здоровья.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Обеспечение здоровьесберегающей деятельности педагогов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Создание уголка «психологической разгрузки» для педагогов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Директор, профком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осмотров, вакцинация не менее 60% педагогов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BB59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общения для педагогов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BB593F" w:rsidRDefault="00BB593F" w:rsidP="000D73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73FB" w:rsidRPr="00BB593F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9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5" w:type="dxa"/>
            <w:hideMark/>
          </w:tcPr>
          <w:p w:rsidR="00BB593F" w:rsidRDefault="00BB593F" w:rsidP="000D73F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D73FB" w:rsidRPr="00BB593F" w:rsidRDefault="00BB593F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самостоятельности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школы в городском образовательном пространстве;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органов самоуправления;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государственно-общественной формы управления школой;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перехода школы в статус автономного учреждения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Обновление финансирования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Переход на нормативное подушевое финансирование учреждения.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Переход в статус бюджетного учреждения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 2011.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Расширение перечня дополнительных платных образовательных услуг до 10% в бюджете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К 2015 г.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Деятельность органа государственно-общественного управления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Управляющего совета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Подготовка публичных отчетов о деятельности школы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школы на школьном сайте, в средствах массовой информации 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школы в части «Формирование профильного обучения с учетом социального заказа общества и реалий социума микрорайона школы»</w:t>
            </w: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5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93F" w:rsidRDefault="00BB593F" w:rsidP="000D73FB">
      <w:pPr>
        <w:rPr>
          <w:rFonts w:ascii="Times New Roman" w:hAnsi="Times New Roman" w:cs="Times New Roman"/>
          <w:sz w:val="28"/>
          <w:szCs w:val="28"/>
        </w:rPr>
      </w:pPr>
    </w:p>
    <w:p w:rsidR="000D73FB" w:rsidRPr="009640FC" w:rsidRDefault="000D73FB" w:rsidP="00FE16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0FC">
        <w:rPr>
          <w:rFonts w:ascii="Times New Roman" w:hAnsi="Times New Roman" w:cs="Times New Roman"/>
          <w:i/>
          <w:sz w:val="28"/>
          <w:szCs w:val="28"/>
        </w:rPr>
        <w:t>Оценка результатов реализации национальной образовательной инициативы</w:t>
      </w:r>
    </w:p>
    <w:p w:rsidR="000D73FB" w:rsidRPr="009640FC" w:rsidRDefault="000D73FB" w:rsidP="00FE16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0FC">
        <w:rPr>
          <w:rFonts w:ascii="Times New Roman" w:hAnsi="Times New Roman" w:cs="Times New Roman"/>
          <w:i/>
          <w:sz w:val="28"/>
          <w:szCs w:val="28"/>
        </w:rPr>
        <w:t>«Наша новая школа» на 2011-2015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9"/>
        <w:gridCol w:w="1942"/>
        <w:gridCol w:w="85"/>
        <w:gridCol w:w="739"/>
        <w:gridCol w:w="989"/>
        <w:gridCol w:w="1299"/>
        <w:gridCol w:w="1113"/>
        <w:gridCol w:w="1299"/>
      </w:tblGrid>
      <w:tr w:rsidR="000D73FB" w:rsidRPr="000D73FB" w:rsidTr="000D73FB">
        <w:tc>
          <w:tcPr>
            <w:tcW w:w="4110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1. Переход на новые образовательные стандарты</w:t>
            </w:r>
          </w:p>
        </w:tc>
        <w:tc>
          <w:tcPr>
            <w:tcW w:w="5535" w:type="dxa"/>
            <w:gridSpan w:val="6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Внедрение ФГОС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численности школьников, обучающихся по ФГОС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1,2 классы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1,2,3 классы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1,2,3,4 классы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1,2,3,4,5 классы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Повышение про-фессиональной компетентност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педагогов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числа учителей, прошедших повышение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для работы в соответствии с ФГОС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материально-технических условий для введения ФГОС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числа учебных кабинетов, в которых обеспечена возможность пользоваться учебным оборудованием для практических работ в соответствии с ФГОС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технологий контроля качества знаний в 1-11 классах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численности учащихся, прошедших независимую оценку качества образования (с участием общественности</w:t>
            </w:r>
            <w:r w:rsidR="00BB59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4,5,9 классы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3,4,5,9,11 классы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3,4,5,6,9,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3,4,5,6,7,9,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3,4,5,6,7,8,9, 10, 11 классы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системы оценки личных достижений учащихся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количества школьников, имеющих портфолио личных достижений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2,3,9,10 классы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2,3,4,9,10,11 классы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2,3,4,5,8,9, 10,11 классы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2- 11 классы</w:t>
            </w:r>
          </w:p>
        </w:tc>
      </w:tr>
      <w:tr w:rsidR="000D73FB" w:rsidRPr="000D73FB" w:rsidTr="000D73FB">
        <w:tc>
          <w:tcPr>
            <w:tcW w:w="4110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2. Развитие системы поддержки талантливых детей</w:t>
            </w:r>
          </w:p>
        </w:tc>
        <w:tc>
          <w:tcPr>
            <w:tcW w:w="5535" w:type="dxa"/>
            <w:gridSpan w:val="6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D73FB" w:rsidRPr="000D73FB" w:rsidTr="000D73FB">
        <w:tc>
          <w:tcPr>
            <w:tcW w:w="1425" w:type="dxa"/>
            <w:vMerge w:val="restart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научно-практическую и проектную деятельность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количества школьников, работающих в научном обществе учащихся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5-6%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0D73FB" w:rsidRPr="000D73FB" w:rsidTr="000D73FB">
        <w:tc>
          <w:tcPr>
            <w:tcW w:w="0" w:type="auto"/>
            <w:vMerge/>
            <w:vAlign w:val="center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количества школьников, вовлеченных в проектную деятельность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учащихся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количества учащихся, участвующих в дистанционных олимпиадах и конкурсах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интел-лектуальных, творческих способностей учащихся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численности школьников, получающих доступные качественные услуги дополнительного образования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D73FB" w:rsidRPr="000D73FB" w:rsidTr="000D73FB">
        <w:tc>
          <w:tcPr>
            <w:tcW w:w="4110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учительского корпуса</w:t>
            </w:r>
          </w:p>
        </w:tc>
        <w:tc>
          <w:tcPr>
            <w:tcW w:w="5535" w:type="dxa"/>
            <w:gridSpan w:val="6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D73FB" w:rsidRPr="000D73FB" w:rsidTr="000D73FB">
        <w:tc>
          <w:tcPr>
            <w:tcW w:w="1425" w:type="dxa"/>
            <w:vMerge w:val="restart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педагогов, соответствующих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современным требованиям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числа учителей, прошедших обучение по новым моделям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D73FB" w:rsidRPr="000D73FB" w:rsidTr="000D73FB">
        <w:tc>
          <w:tcPr>
            <w:tcW w:w="0" w:type="auto"/>
            <w:vMerge/>
            <w:vAlign w:val="center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числа учителей, прошедших дистанционные курсы повышения квалификации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Повышение про-фессиональной компетентности педагогов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числа учителей, прошедших аттестацию в новой форме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Участие педагогов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школы в профессио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нальных конкурсах</w:t>
            </w:r>
          </w:p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разных уровней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числа педагогов, участвующих в профессиональных конкурсах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5,00%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10,00%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12,00%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15-20%</w:t>
            </w:r>
          </w:p>
        </w:tc>
      </w:tr>
      <w:tr w:rsidR="000D73FB" w:rsidRPr="000D73FB" w:rsidTr="000D73FB">
        <w:tc>
          <w:tcPr>
            <w:tcW w:w="6600" w:type="dxa"/>
            <w:gridSpan w:val="5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4. Изменение школьной инфраструктуры</w:t>
            </w:r>
          </w:p>
        </w:tc>
        <w:tc>
          <w:tcPr>
            <w:tcW w:w="3030" w:type="dxa"/>
            <w:gridSpan w:val="3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единой образовательной среды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учащихся, пользующихся программой «Электронный дневник», «Электронный журнал»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ИКТ-компетентности учащихся и педагогов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числа </w:t>
            </w: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учащихся, имеющих доступ в Интернет в учебном и внеучебном процессе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D73FB" w:rsidRPr="000D73FB" w:rsidTr="000D73FB">
        <w:tc>
          <w:tcPr>
            <w:tcW w:w="4110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Сохранение и укрепление здоровья школьников</w:t>
            </w:r>
          </w:p>
        </w:tc>
        <w:tc>
          <w:tcPr>
            <w:tcW w:w="5535" w:type="dxa"/>
            <w:gridSpan w:val="6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Развитие внеклассной физкультурно-оздоровительной деятельности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Рост числа учащихся, вовлеченных в физкультурно-оздоровительную деятельность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школьников</w:t>
            </w: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дней, пропущенных учащимися по болезни</w:t>
            </w: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FB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0D73FB" w:rsidRPr="000D73FB" w:rsidTr="000D73FB">
        <w:tc>
          <w:tcPr>
            <w:tcW w:w="4110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6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142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FB" w:rsidRPr="000D73FB" w:rsidTr="000D73FB">
        <w:tc>
          <w:tcPr>
            <w:tcW w:w="204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hideMark/>
          </w:tcPr>
          <w:p w:rsidR="000D73FB" w:rsidRPr="000D73FB" w:rsidRDefault="000D73FB" w:rsidP="000D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3FB" w:rsidRPr="000D73FB" w:rsidRDefault="00FE168C" w:rsidP="000D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3FB" w:rsidRPr="000D73FB">
        <w:rPr>
          <w:rFonts w:ascii="Times New Roman" w:hAnsi="Times New Roman" w:cs="Times New Roman"/>
          <w:sz w:val="28"/>
          <w:szCs w:val="28"/>
        </w:rPr>
        <w:t xml:space="preserve"> .Объем и источники финансирования Проекта.</w:t>
      </w:r>
    </w:p>
    <w:p w:rsidR="000D73FB" w:rsidRPr="000D73FB" w:rsidRDefault="000D73FB" w:rsidP="000D73FB">
      <w:pPr>
        <w:rPr>
          <w:rFonts w:ascii="Times New Roman" w:hAnsi="Times New Roman" w:cs="Times New Roman"/>
          <w:sz w:val="28"/>
          <w:szCs w:val="28"/>
        </w:rPr>
      </w:pPr>
      <w:r w:rsidRPr="000D73FB">
        <w:rPr>
          <w:rFonts w:ascii="Times New Roman" w:hAnsi="Times New Roman" w:cs="Times New Roman"/>
          <w:sz w:val="28"/>
          <w:szCs w:val="28"/>
        </w:rPr>
        <w:t>Ресурсное обеспечение реализации Проекта.</w:t>
      </w:r>
    </w:p>
    <w:p w:rsidR="000D73FB" w:rsidRPr="000D73FB" w:rsidRDefault="000D73FB" w:rsidP="000D73FB">
      <w:pPr>
        <w:rPr>
          <w:rFonts w:ascii="Times New Roman" w:hAnsi="Times New Roman" w:cs="Times New Roman"/>
          <w:sz w:val="28"/>
          <w:szCs w:val="28"/>
        </w:rPr>
      </w:pPr>
      <w:r w:rsidRPr="000D73FB">
        <w:rPr>
          <w:rFonts w:ascii="Times New Roman" w:hAnsi="Times New Roman" w:cs="Times New Roman"/>
          <w:sz w:val="28"/>
          <w:szCs w:val="28"/>
        </w:rPr>
        <w:t>Учреждение обеспечено кадровыми, методическими, материально-техническими и финансовыми ресурсами, необходимыми для реализации программы.</w:t>
      </w:r>
    </w:p>
    <w:p w:rsidR="000D73FB" w:rsidRPr="000D73FB" w:rsidRDefault="000D73FB" w:rsidP="000D73FB">
      <w:pPr>
        <w:rPr>
          <w:rFonts w:ascii="Times New Roman" w:hAnsi="Times New Roman" w:cs="Times New Roman"/>
          <w:sz w:val="28"/>
          <w:szCs w:val="28"/>
        </w:rPr>
      </w:pPr>
      <w:r w:rsidRPr="000D73FB">
        <w:rPr>
          <w:rFonts w:ascii="Times New Roman" w:hAnsi="Times New Roman" w:cs="Times New Roman"/>
          <w:sz w:val="28"/>
          <w:szCs w:val="28"/>
        </w:rPr>
        <w:t>Объём и источники финансирования Проекта.</w:t>
      </w:r>
    </w:p>
    <w:p w:rsidR="000D73FB" w:rsidRPr="000D73FB" w:rsidRDefault="000D73FB" w:rsidP="000D73FB">
      <w:pPr>
        <w:rPr>
          <w:rFonts w:ascii="Times New Roman" w:hAnsi="Times New Roman" w:cs="Times New Roman"/>
          <w:sz w:val="28"/>
          <w:szCs w:val="28"/>
        </w:rPr>
      </w:pPr>
      <w:r w:rsidRPr="000D73FB">
        <w:rPr>
          <w:rFonts w:ascii="Times New Roman" w:hAnsi="Times New Roman" w:cs="Times New Roman"/>
          <w:sz w:val="28"/>
          <w:szCs w:val="28"/>
        </w:rPr>
        <w:t>Бюджетное и внебюджетное финансирование, спонсорская помощь.</w:t>
      </w:r>
    </w:p>
    <w:p w:rsidR="009640FC" w:rsidRDefault="009640FC" w:rsidP="000D73FB">
      <w:pPr>
        <w:rPr>
          <w:rFonts w:ascii="Times New Roman" w:hAnsi="Times New Roman" w:cs="Times New Roman"/>
          <w:sz w:val="28"/>
          <w:szCs w:val="28"/>
        </w:rPr>
      </w:pPr>
    </w:p>
    <w:p w:rsidR="009640FC" w:rsidRDefault="009640FC" w:rsidP="000D73FB">
      <w:pPr>
        <w:rPr>
          <w:rFonts w:ascii="Times New Roman" w:hAnsi="Times New Roman" w:cs="Times New Roman"/>
          <w:sz w:val="28"/>
          <w:szCs w:val="28"/>
        </w:rPr>
      </w:pPr>
    </w:p>
    <w:p w:rsidR="000D73FB" w:rsidRPr="000D73FB" w:rsidRDefault="000D73FB" w:rsidP="000D73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FB" w:rsidRPr="000D73FB" w:rsidSect="008832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B7" w:rsidRDefault="009321B7" w:rsidP="000850A9">
      <w:pPr>
        <w:spacing w:after="0" w:line="240" w:lineRule="auto"/>
      </w:pPr>
      <w:r>
        <w:separator/>
      </w:r>
    </w:p>
  </w:endnote>
  <w:endnote w:type="continuationSeparator" w:id="1">
    <w:p w:rsidR="009321B7" w:rsidRDefault="009321B7" w:rsidP="0008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32"/>
      <w:docPartObj>
        <w:docPartGallery w:val="Page Numbers (Bottom of Page)"/>
        <w:docPartUnique/>
      </w:docPartObj>
    </w:sdtPr>
    <w:sdtContent>
      <w:p w:rsidR="00E865B3" w:rsidRDefault="00E865B3">
        <w:pPr>
          <w:pStyle w:val="a6"/>
          <w:jc w:val="center"/>
        </w:pPr>
        <w:fldSimple w:instr=" PAGE   \* MERGEFORMAT ">
          <w:r w:rsidR="00E25177">
            <w:rPr>
              <w:noProof/>
            </w:rPr>
            <w:t>3</w:t>
          </w:r>
        </w:fldSimple>
      </w:p>
    </w:sdtContent>
  </w:sdt>
  <w:p w:rsidR="00E865B3" w:rsidRDefault="00E865B3" w:rsidP="00E865B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B7" w:rsidRDefault="009321B7" w:rsidP="000850A9">
      <w:pPr>
        <w:spacing w:after="0" w:line="240" w:lineRule="auto"/>
      </w:pPr>
      <w:r>
        <w:separator/>
      </w:r>
    </w:p>
  </w:footnote>
  <w:footnote w:type="continuationSeparator" w:id="1">
    <w:p w:rsidR="009321B7" w:rsidRDefault="009321B7" w:rsidP="0008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5E0"/>
    <w:multiLevelType w:val="hybridMultilevel"/>
    <w:tmpl w:val="04AC8D92"/>
    <w:lvl w:ilvl="0" w:tplc="AE76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561A"/>
    <w:multiLevelType w:val="hybridMultilevel"/>
    <w:tmpl w:val="FB8E2FE0"/>
    <w:lvl w:ilvl="0" w:tplc="0419000F">
      <w:start w:val="1"/>
      <w:numFmt w:val="decimal"/>
      <w:lvlText w:val="%1."/>
      <w:lvlJc w:val="left"/>
      <w:pPr>
        <w:ind w:left="1611" w:hanging="360"/>
      </w:p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">
    <w:nsid w:val="4D5F7D5C"/>
    <w:multiLevelType w:val="hybridMultilevel"/>
    <w:tmpl w:val="029EB200"/>
    <w:lvl w:ilvl="0" w:tplc="28AA5BD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9641DF1"/>
    <w:multiLevelType w:val="hybridMultilevel"/>
    <w:tmpl w:val="0AD4E1CE"/>
    <w:lvl w:ilvl="0" w:tplc="2EC221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3FB"/>
    <w:rsid w:val="000850A9"/>
    <w:rsid w:val="000D73FB"/>
    <w:rsid w:val="003220C0"/>
    <w:rsid w:val="00847358"/>
    <w:rsid w:val="00883248"/>
    <w:rsid w:val="008D3DEA"/>
    <w:rsid w:val="009321B7"/>
    <w:rsid w:val="009640FC"/>
    <w:rsid w:val="00AF5117"/>
    <w:rsid w:val="00BB593F"/>
    <w:rsid w:val="00C30028"/>
    <w:rsid w:val="00E25177"/>
    <w:rsid w:val="00E865B3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8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0A9"/>
  </w:style>
  <w:style w:type="paragraph" w:styleId="a6">
    <w:name w:val="footer"/>
    <w:basedOn w:val="a"/>
    <w:link w:val="a7"/>
    <w:uiPriority w:val="99"/>
    <w:unhideWhenUsed/>
    <w:rsid w:val="0008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33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2011-08-18T03:12:00Z</cp:lastPrinted>
  <dcterms:created xsi:type="dcterms:W3CDTF">2011-08-17T07:28:00Z</dcterms:created>
  <dcterms:modified xsi:type="dcterms:W3CDTF">2011-08-18T03:44:00Z</dcterms:modified>
</cp:coreProperties>
</file>